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97" w:rsidRDefault="00743397">
      <w:pPr>
        <w:tabs>
          <w:tab w:val="left" w:pos="3359"/>
        </w:tabs>
        <w:spacing w:before="76" w:line="240" w:lineRule="auto"/>
        <w:ind w:left="152" w:right="139"/>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p>
    <w:p w:rsidR="00743397" w:rsidRDefault="00743397">
      <w:pPr>
        <w:pStyle w:val="Style"/>
        <w:spacing w:before="120" w:line="240" w:lineRule="atLeast"/>
        <w:ind w:left="11" w:right="11"/>
        <w:rPr>
          <w:rFonts w:ascii="Gill Sans MT" w:hAnsi="Gill Sans MT" w:cs="Gill Sans MT"/>
          <w:b/>
          <w:bCs/>
          <w:color w:val="006C68"/>
          <w:lang w:val="en-US"/>
        </w:rPr>
      </w:pPr>
      <w:r>
        <w:rPr>
          <w:rFonts w:ascii="Gill Sans MT" w:hAnsi="Gill Sans MT" w:cs="Gill Sans MT"/>
          <w:b/>
          <w:bCs/>
          <w:color w:val="006C68"/>
          <w:lang w:val="en-US"/>
        </w:rPr>
        <w:t>Main purpose of the job:</w:t>
      </w:r>
    </w:p>
    <w:p w:rsidR="00743397" w:rsidRDefault="00743397">
      <w:pPr>
        <w:pStyle w:val="Style"/>
        <w:spacing w:before="120" w:line="240" w:lineRule="atLeast"/>
        <w:ind w:left="360" w:right="11" w:hanging="360"/>
        <w:rPr>
          <w:rFonts w:ascii="Gill Sans MT" w:hAnsi="Gill Sans MT" w:cs="Gill Sans MT"/>
          <w:color w:val="006C68"/>
          <w:lang w:val="en-US"/>
        </w:rPr>
      </w:pPr>
      <w:r>
        <w:rPr>
          <w:rFonts w:ascii="Gill Sans MT" w:hAnsi="Gill Sans MT" w:cs="Gill Sans MT"/>
          <w:lang w:val="en-US"/>
        </w:rPr>
        <w:t xml:space="preserve">To carry out the professional duties of a teacher as circumstances may require in   </w:t>
      </w:r>
      <w:r>
        <w:rPr>
          <w:rFonts w:ascii="Gill Sans MT" w:hAnsi="Gill Sans MT" w:cs="Gill Sans MT"/>
          <w:lang w:val="en-US"/>
        </w:rPr>
        <w:tab/>
        <w:t>accordance with the school’s policies under the direction of the head teacher.</w:t>
      </w:r>
    </w:p>
    <w:p w:rsidR="00743397" w:rsidRDefault="00743397">
      <w:pPr>
        <w:spacing w:before="150" w:after="150" w:line="240" w:lineRule="auto"/>
        <w:ind w:hanging="360"/>
        <w:rPr>
          <w:rFonts w:ascii="Gill Sans MT" w:hAnsi="Gill Sans MT" w:cs="Gill Sans MT"/>
          <w:color w:val="333333"/>
          <w:sz w:val="24"/>
          <w:szCs w:val="24"/>
        </w:rPr>
      </w:pPr>
      <w:r>
        <w:rPr>
          <w:rFonts w:ascii="Gill Sans MT" w:hAnsi="Gill Sans MT" w:cs="Gill Sans MT"/>
          <w:color w:val="333333"/>
          <w:sz w:val="24"/>
          <w:szCs w:val="24"/>
        </w:rPr>
        <w:t xml:space="preserve">Implement and deliver an appropriately broad, balanced, relevant and differentiated </w:t>
      </w:r>
      <w:r>
        <w:rPr>
          <w:rFonts w:ascii="Gill Sans MT" w:hAnsi="Gill Sans MT" w:cs="Gill Sans MT"/>
          <w:color w:val="333333"/>
          <w:sz w:val="24"/>
          <w:szCs w:val="24"/>
        </w:rPr>
        <w:tab/>
        <w:t>curriculum for pupils, incorporating the areas of learning for the EYFS</w:t>
      </w:r>
    </w:p>
    <w:p w:rsidR="00743397" w:rsidRDefault="00743397">
      <w:pPr>
        <w:spacing w:before="150" w:after="150" w:line="240" w:lineRule="auto"/>
        <w:ind w:hanging="360"/>
        <w:rPr>
          <w:rFonts w:ascii="Gill Sans MT" w:hAnsi="Gill Sans MT" w:cs="Gill Sans MT"/>
          <w:b/>
          <w:bCs/>
          <w:color w:val="006C68"/>
          <w:sz w:val="24"/>
          <w:szCs w:val="24"/>
          <w:lang w:val="en-US"/>
        </w:rPr>
      </w:pPr>
      <w:r>
        <w:rPr>
          <w:rFonts w:ascii="Gill Sans MT" w:hAnsi="Gill Sans MT" w:cs="Gill Sans MT"/>
          <w:color w:val="333333"/>
          <w:sz w:val="24"/>
          <w:szCs w:val="24"/>
        </w:rPr>
        <w:t xml:space="preserve">Facilitate, support and monitor the overall progress and development of               </w:t>
      </w:r>
      <w:r>
        <w:rPr>
          <w:rFonts w:ascii="Gill Sans MT" w:hAnsi="Gill Sans MT" w:cs="Gill Sans MT"/>
          <w:color w:val="333333"/>
          <w:sz w:val="24"/>
          <w:szCs w:val="24"/>
        </w:rPr>
        <w:tab/>
        <w:t>EYFS pupils and designated groups</w:t>
      </w:r>
    </w:p>
    <w:p w:rsidR="00743397" w:rsidRDefault="00743397">
      <w:pPr>
        <w:pStyle w:val="Style"/>
        <w:spacing w:before="120" w:line="240" w:lineRule="atLeast"/>
        <w:ind w:left="371" w:right="11" w:hanging="360"/>
        <w:rPr>
          <w:rFonts w:ascii="Gill Sans MT" w:hAnsi="Gill Sans MT" w:cs="Gill Sans MT"/>
          <w:b/>
          <w:bCs/>
          <w:color w:val="006C68"/>
          <w:lang w:val="en-US"/>
        </w:rPr>
      </w:pPr>
      <w:r>
        <w:rPr>
          <w:rFonts w:ascii="Gill Sans MT" w:hAnsi="Gill Sans MT" w:cs="Gill Sans MT"/>
          <w:sz w:val="20"/>
          <w:szCs w:val="20"/>
        </w:rPr>
        <w:tab/>
      </w:r>
      <w:r>
        <w:rPr>
          <w:rFonts w:ascii="Gill Sans MT" w:hAnsi="Gill Sans MT" w:cs="Gill Sans MT"/>
          <w:b/>
          <w:bCs/>
          <w:color w:val="006C68"/>
          <w:lang w:val="en-US"/>
        </w:rPr>
        <w:t>Key tasks:</w:t>
      </w:r>
    </w:p>
    <w:p w:rsidR="00743397" w:rsidRDefault="00743397">
      <w:pPr>
        <w:widowControl/>
        <w:spacing w:after="160" w:line="256" w:lineRule="auto"/>
        <w:rPr>
          <w:rFonts w:ascii="Gill Sans MT" w:hAnsi="Gill Sans MT" w:cs="Gill Sans MT"/>
          <w:sz w:val="24"/>
          <w:szCs w:val="24"/>
        </w:rPr>
      </w:pPr>
      <w:r>
        <w:rPr>
          <w:rFonts w:ascii="Gill Sans MT" w:hAnsi="Gill Sans MT" w:cs="Gill Sans MT"/>
          <w:sz w:val="24"/>
          <w:szCs w:val="24"/>
        </w:rPr>
        <w:t xml:space="preserve">Teach allocated pupils by planning their teaching to achieve progression of learning through: </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Identifying clear teaching objectives and specifying how they will be taught and assessed</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setting tasks which challenge pupils and ensure high levels of interest</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setting appropriate and demanding expectations</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setting clear targets, building on prior attainment identifying SEN or very able pupils</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providing clear structures for lessons maintaining pace, motivation and challenge</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making effective use of assessment and ensure coverage of programmes of study</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ensuring effective teaching and best use of available time</w:t>
      </w:r>
    </w:p>
    <w:p w:rsidR="00743397" w:rsidRDefault="00743397">
      <w:pPr>
        <w:widowControl/>
        <w:spacing w:after="160" w:line="256" w:lineRule="auto"/>
        <w:ind w:left="360" w:hanging="360"/>
        <w:rPr>
          <w:rFonts w:ascii="Gill Sans MT" w:hAnsi="Gill Sans MT" w:cs="Gill Sans MT"/>
          <w:sz w:val="24"/>
          <w:szCs w:val="24"/>
        </w:rPr>
      </w:pPr>
      <w:r>
        <w:rPr>
          <w:rFonts w:ascii="Gill Sans MT" w:hAnsi="Gill Sans MT" w:cs="Gill Sans MT"/>
          <w:sz w:val="24"/>
          <w:szCs w:val="24"/>
        </w:rPr>
        <w:t>maintaining discipline in accordance with the school's procedures and encouraging good practice with regard to punctuality, behaviour, standards of learning and home-learning</w:t>
      </w:r>
    </w:p>
    <w:p w:rsidR="00743397" w:rsidRDefault="00743397">
      <w:pPr>
        <w:widowControl/>
        <w:spacing w:line="240" w:lineRule="auto"/>
        <w:rPr>
          <w:rFonts w:ascii="Gill Sans MT" w:hAnsi="Gill Sans MT" w:cs="Gill Sans MT"/>
          <w:b/>
          <w:bCs/>
          <w:sz w:val="24"/>
          <w:szCs w:val="24"/>
        </w:rPr>
      </w:pPr>
      <w:r>
        <w:rPr>
          <w:rFonts w:ascii="Gill Sans MT" w:hAnsi="Gill Sans MT" w:cs="Gill Sans MT"/>
          <w:b/>
          <w:bCs/>
          <w:sz w:val="24"/>
          <w:szCs w:val="24"/>
        </w:rPr>
        <w:t xml:space="preserve">Use a variety of teaching methods to: </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 xml:space="preserve">present a set of key ideas and use appropriate vocabulary </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use effective questioning, listen carefully to pupils, give attention to errors and misconceptions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 xml:space="preserve">select appropriate learning resources and develop study skills through library, I.C.T. and other sources, ensuring pupils acquire and consolidate knowledge, skills and understanding appropriate to the subject taught; </w:t>
      </w:r>
    </w:p>
    <w:p w:rsidR="00743397" w:rsidRDefault="00743397">
      <w:pPr>
        <w:widowControl/>
        <w:spacing w:after="160" w:line="256" w:lineRule="auto"/>
        <w:rPr>
          <w:rFonts w:ascii="Gill Sans MT" w:hAnsi="Gill Sans MT" w:cs="Gill Sans MT"/>
          <w:sz w:val="24"/>
          <w:szCs w:val="24"/>
        </w:rPr>
      </w:pPr>
    </w:p>
    <w:p w:rsidR="00743397" w:rsidRDefault="00743397">
      <w:pPr>
        <w:widowControl/>
        <w:spacing w:after="160" w:line="256" w:lineRule="auto"/>
        <w:rPr>
          <w:rFonts w:ascii="Gill Sans MT" w:hAnsi="Gill Sans MT" w:cs="Gill Sans MT"/>
          <w:sz w:val="20"/>
          <w:szCs w:val="20"/>
        </w:rPr>
      </w:pPr>
    </w:p>
    <w:p w:rsidR="00743397" w:rsidRDefault="00743397">
      <w:pPr>
        <w:widowControl/>
        <w:spacing w:after="160" w:line="256" w:lineRule="auto"/>
        <w:rPr>
          <w:rFonts w:ascii="Gill Sans MT" w:hAnsi="Gill Sans MT" w:cs="Gill Sans MT"/>
          <w:sz w:val="20"/>
          <w:szCs w:val="20"/>
        </w:rPr>
      </w:pPr>
    </w:p>
    <w:p w:rsidR="00743397" w:rsidRDefault="00743397">
      <w:pPr>
        <w:widowControl/>
        <w:spacing w:after="160" w:line="256" w:lineRule="auto"/>
        <w:rPr>
          <w:rFonts w:ascii="Gill Sans MT" w:hAnsi="Gill Sans MT" w:cs="Gill Sans MT"/>
          <w:sz w:val="20"/>
          <w:szCs w:val="20"/>
        </w:rPr>
      </w:pPr>
    </w:p>
    <w:p w:rsidR="00743397" w:rsidRDefault="00743397">
      <w:pPr>
        <w:widowControl/>
        <w:spacing w:after="160" w:line="256" w:lineRule="auto"/>
        <w:rPr>
          <w:rFonts w:ascii="Gill Sans MT" w:hAnsi="Gill Sans MT" w:cs="Gill Sans MT"/>
          <w:sz w:val="20"/>
          <w:szCs w:val="20"/>
        </w:rPr>
      </w:pPr>
    </w:p>
    <w:p w:rsidR="00743397" w:rsidRDefault="00743397">
      <w:pPr>
        <w:pStyle w:val="Style"/>
        <w:spacing w:before="120" w:line="240" w:lineRule="atLeast"/>
        <w:ind w:left="11" w:right="11"/>
        <w:rPr>
          <w:rFonts w:ascii="Gill Sans MT" w:hAnsi="Gill Sans MT" w:cs="Gill Sans MT"/>
          <w:b/>
          <w:bCs/>
          <w:color w:val="006C68"/>
          <w:sz w:val="20"/>
          <w:szCs w:val="20"/>
          <w:lang w:val="en-US"/>
        </w:rPr>
      </w:pPr>
    </w:p>
    <w:p w:rsidR="00743397" w:rsidRDefault="00743397">
      <w:pPr>
        <w:pStyle w:val="Style"/>
        <w:spacing w:before="120" w:line="240" w:lineRule="atLeast"/>
        <w:ind w:left="11" w:right="11"/>
        <w:rPr>
          <w:rFonts w:ascii="Malgun Gothic Semilight" w:eastAsia="Malgun Gothic Semilight" w:hAnsi="Malgun Gothic Semilight" w:cs="Malgun Gothic Semilight"/>
          <w:b/>
          <w:bCs/>
          <w:color w:val="006C68"/>
          <w:sz w:val="20"/>
          <w:szCs w:val="20"/>
          <w:lang w:val="en-US"/>
        </w:rPr>
      </w:pPr>
    </w:p>
    <w:p w:rsidR="00743397" w:rsidRDefault="00743397">
      <w:pPr>
        <w:pStyle w:val="Style"/>
        <w:spacing w:before="120" w:line="240" w:lineRule="atLeast"/>
        <w:ind w:left="11" w:right="11"/>
        <w:rPr>
          <w:rFonts w:ascii="Malgun Gothic Semilight" w:eastAsia="Malgun Gothic Semilight" w:hAnsi="Malgun Gothic Semilight" w:cs="Malgun Gothic Semilight"/>
          <w:b/>
          <w:bCs/>
          <w:color w:val="006C68"/>
          <w:sz w:val="20"/>
          <w:szCs w:val="20"/>
          <w:lang w:val="en-US"/>
        </w:rPr>
      </w:pPr>
    </w:p>
    <w:p w:rsidR="00743397" w:rsidRDefault="00743397">
      <w:pPr>
        <w:pStyle w:val="Style"/>
        <w:spacing w:before="120" w:line="240" w:lineRule="atLeast"/>
        <w:ind w:left="11" w:right="11"/>
        <w:rPr>
          <w:rFonts w:ascii="Malgun Gothic Semilight" w:eastAsia="Malgun Gothic Semilight" w:hAnsi="Malgun Gothic Semilight" w:cs="Malgun Gothic Semilight"/>
          <w:b/>
          <w:bCs/>
          <w:color w:val="006C68"/>
          <w:sz w:val="20"/>
          <w:szCs w:val="20"/>
          <w:lang w:val="en-US"/>
        </w:rPr>
      </w:pPr>
    </w:p>
    <w:p w:rsidR="00743397" w:rsidRDefault="00743397">
      <w:pPr>
        <w:pStyle w:val="CardTitle"/>
        <w:rPr>
          <w:rFonts w:ascii="Malgun Gothic Semilight" w:eastAsia="Malgun Gothic Semilight" w:hAnsi="Malgun Gothic Semilight" w:cs="Malgun Gothic Semilight"/>
          <w:b/>
          <w:bCs/>
          <w:color w:val="537885"/>
          <w:sz w:val="28"/>
          <w:szCs w:val="28"/>
          <w:lang w:val="en-US"/>
        </w:rPr>
      </w:pPr>
    </w:p>
    <w:p w:rsidR="00743397" w:rsidRDefault="00743397">
      <w:pPr>
        <w:pStyle w:val="CardTitle"/>
        <w:rPr>
          <w:rFonts w:ascii="Malgun Gothic Semilight" w:eastAsia="Malgun Gothic Semilight" w:hAnsi="Malgun Gothic Semilight" w:cs="Malgun Gothic Semilight"/>
          <w:b/>
          <w:bCs/>
          <w:color w:val="537885"/>
          <w:sz w:val="28"/>
          <w:szCs w:val="28"/>
          <w:lang w:val="en-US"/>
        </w:rPr>
      </w:pPr>
    </w:p>
    <w:p w:rsidR="00743397" w:rsidRDefault="00743397">
      <w:pPr>
        <w:pStyle w:val="CardTitle"/>
        <w:rPr>
          <w:rFonts w:ascii="Malgun Gothic Semilight" w:eastAsia="Malgun Gothic Semilight" w:hAnsi="Malgun Gothic Semilight" w:cs="Malgun Gothic Semilight"/>
          <w:b/>
          <w:bCs/>
          <w:color w:val="537885"/>
          <w:sz w:val="28"/>
          <w:szCs w:val="28"/>
          <w:lang w:val="en-US"/>
        </w:rPr>
      </w:pPr>
    </w:p>
    <w:p w:rsidR="00743397" w:rsidRDefault="00743397">
      <w:pPr>
        <w:pStyle w:val="CardTitle"/>
        <w:rPr>
          <w:rFonts w:ascii="Calibri" w:hAnsi="Calibri" w:cs="Calibri"/>
          <w:sz w:val="28"/>
          <w:szCs w:val="28"/>
          <w:lang w:val="en-US"/>
        </w:rPr>
      </w:pPr>
    </w:p>
    <w:p w:rsidR="00743397" w:rsidRDefault="00743397">
      <w:pPr>
        <w:pStyle w:val="CardTitle"/>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pgSz w:w="12240" w:h="15840"/>
          <w:pgMar w:top="1440" w:right="1440" w:bottom="1440" w:left="1440" w:header="720" w:footer="720" w:gutter="0"/>
          <w:cols w:space="720"/>
          <w:noEndnote/>
        </w:sectPr>
      </w:pPr>
    </w:p>
    <w:p w:rsidR="00743397" w:rsidRDefault="00743397">
      <w:pPr>
        <w:pStyle w:val="BodyText3"/>
        <w:rPr>
          <w:rFonts w:cstheme="minorBidi"/>
          <w:color w:val="auto"/>
          <w:kern w:val="0"/>
          <w:sz w:val="24"/>
          <w:szCs w:val="24"/>
        </w:rPr>
      </w:pPr>
      <w:r>
        <w:rPr>
          <w:rFonts w:ascii="Calibri" w:hAnsi="Calibri" w:cs="Calibri"/>
          <w:b/>
          <w:bCs/>
          <w:color w:val="2C2C2C"/>
          <w:sz w:val="24"/>
          <w:szCs w:val="24"/>
          <w:lang w:val="en-US"/>
        </w:rPr>
        <w:t>www.st-petersrc.plymouth.sch.uk</w:t>
      </w: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BodyText3"/>
        <w:rPr>
          <w:rFonts w:ascii="Gill Sans MT" w:hAnsi="Gill Sans MT" w:cs="Gill Sans MT"/>
          <w:b/>
          <w:bCs/>
          <w:color w:val="006C68"/>
          <w:sz w:val="40"/>
          <w:szCs w:val="40"/>
          <w:lang w:val="en-US"/>
        </w:rPr>
      </w:pPr>
      <w:r>
        <w:rPr>
          <w:rFonts w:ascii="Gill Sans MT" w:hAnsi="Gill Sans MT" w:cs="Gill Sans MT"/>
          <w:b/>
          <w:bCs/>
          <w:color w:val="006C68"/>
          <w:sz w:val="40"/>
          <w:szCs w:val="40"/>
          <w:lang w:val="en-US"/>
        </w:rPr>
        <w:t>EYFS teacher</w:t>
      </w:r>
      <w:r>
        <w:rPr>
          <w:rFonts w:ascii="Gill Sans MT" w:hAnsi="Gill Sans MT" w:cs="Gill Sans MT"/>
          <w:b/>
          <w:bCs/>
          <w:color w:val="006C68"/>
          <w:sz w:val="28"/>
          <w:szCs w:val="28"/>
          <w:lang w:val="en-US"/>
        </w:rPr>
        <w:t xml:space="preserve"> </w:t>
      </w:r>
    </w:p>
    <w:p w:rsidR="00743397" w:rsidRDefault="00743397">
      <w:pPr>
        <w:pStyle w:val="BodyText3"/>
        <w:rPr>
          <w:rFonts w:cstheme="minorBidi"/>
          <w:color w:val="auto"/>
          <w:kern w:val="0"/>
          <w:sz w:val="24"/>
          <w:szCs w:val="24"/>
        </w:rPr>
      </w:pPr>
      <w:r>
        <w:rPr>
          <w:rFonts w:ascii="Gill Sans MT" w:hAnsi="Gill Sans MT" w:cs="Gill Sans MT"/>
          <w:color w:val="595959"/>
          <w:sz w:val="40"/>
          <w:szCs w:val="40"/>
          <w:lang w:val="en-US"/>
        </w:rPr>
        <w:t xml:space="preserve">Job Description </w:t>
      </w: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spacing w:after="280" w:line="240" w:lineRule="auto"/>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unknownstyle"/>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unknownstyle"/>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evaluate own teaching critically to improve effectiveness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ensure the effective and efficient deployment of classroom support, taking account of pupils' needs by providing structured learning</w:t>
      </w:r>
      <w:r>
        <w:rPr>
          <w:rFonts w:ascii="Gill Sans MT" w:hAnsi="Gill Sans MT" w:cs="Gill Sans MT"/>
          <w:b/>
          <w:bCs/>
          <w:color w:val="auto"/>
          <w:sz w:val="24"/>
          <w:szCs w:val="24"/>
        </w:rPr>
        <w:t xml:space="preserve"> </w:t>
      </w:r>
      <w:r>
        <w:rPr>
          <w:rFonts w:ascii="Gill Sans MT" w:hAnsi="Gill Sans MT" w:cs="Gill Sans MT"/>
          <w:sz w:val="24"/>
          <w:szCs w:val="24"/>
        </w:rPr>
        <w:t>opportunities which develop the areas of learning identified in national and local policies and particularly the foundations for literacy and numeracy</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encourage pupils to think and talk about their learning, develop self control and independence, concentrate and persevere, and listen attentively</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 xml:space="preserve">use a variety of teaching strategies which involve planned adult intervention, first-hand experience and play and talk as a vehicle for learning. </w:t>
      </w:r>
    </w:p>
    <w:p w:rsidR="00743397" w:rsidRDefault="00743397">
      <w:pPr>
        <w:widowControl/>
        <w:spacing w:line="240" w:lineRule="auto"/>
        <w:rPr>
          <w:rFonts w:ascii="Gill Sans MT" w:hAnsi="Gill Sans MT" w:cs="Gill Sans MT"/>
          <w:b/>
          <w:bCs/>
          <w:color w:val="auto"/>
          <w:sz w:val="24"/>
          <w:szCs w:val="24"/>
        </w:rPr>
      </w:pPr>
    </w:p>
    <w:p w:rsidR="00743397" w:rsidRDefault="00743397">
      <w:pPr>
        <w:widowControl/>
        <w:spacing w:line="240" w:lineRule="auto"/>
        <w:rPr>
          <w:rFonts w:ascii="Gill Sans MT" w:hAnsi="Gill Sans MT" w:cs="Gill Sans MT"/>
          <w:b/>
          <w:bCs/>
          <w:sz w:val="24"/>
          <w:szCs w:val="24"/>
        </w:rPr>
      </w:pPr>
      <w:r>
        <w:rPr>
          <w:rFonts w:ascii="Gill Sans MT" w:hAnsi="Gill Sans MT" w:cs="Gill Sans MT"/>
          <w:b/>
          <w:bCs/>
          <w:sz w:val="24"/>
          <w:szCs w:val="24"/>
        </w:rPr>
        <w:t>Monitoring, Assessment, Recording, Reporting</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assess how well learning objectives have been achieved and use them to improve specific aspects of teaching</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mark and monitor pupils' work and set targets for progress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assess and record pupils' progress systematically and keep records to check work is understood and completed, monitor strengths and weaknesses, inform planning and recognise the level at which the pupil is achieving</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prepare and present informative reports to parents</w:t>
      </w:r>
    </w:p>
    <w:p w:rsidR="00743397" w:rsidRDefault="00743397">
      <w:pPr>
        <w:widowControl/>
        <w:spacing w:line="240" w:lineRule="auto"/>
        <w:rPr>
          <w:rFonts w:ascii="Gill Sans MT" w:hAnsi="Gill Sans MT" w:cs="Gill Sans MT"/>
          <w:b/>
          <w:bCs/>
          <w:sz w:val="24"/>
          <w:szCs w:val="24"/>
        </w:rPr>
      </w:pPr>
    </w:p>
    <w:p w:rsidR="00743397" w:rsidRDefault="00743397">
      <w:pPr>
        <w:widowControl/>
        <w:spacing w:line="240" w:lineRule="auto"/>
        <w:rPr>
          <w:rFonts w:ascii="Gill Sans MT" w:hAnsi="Gill Sans MT" w:cs="Gill Sans MT"/>
          <w:b/>
          <w:bCs/>
          <w:sz w:val="24"/>
          <w:szCs w:val="24"/>
        </w:rPr>
      </w:pPr>
      <w:r>
        <w:rPr>
          <w:rFonts w:ascii="Gill Sans MT" w:hAnsi="Gill Sans MT" w:cs="Gill Sans MT"/>
          <w:b/>
          <w:bCs/>
          <w:sz w:val="24"/>
          <w:szCs w:val="24"/>
        </w:rPr>
        <w:t>Other professional requirements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have a working knowledge of the teachers professional duties as set out in the current School Teachers’ Pay and Conditions document.</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understand teachers’ legal liabilities and responsibilities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 xml:space="preserve">establish effective working relationships with professional colleagues. </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set a good example to the pupils you teach through your presentation, personal and professional conduct</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be committed to ensuring that every pupil is given the opportunity to achieve</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take responsibility for your own professional development</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take professional responsibilities in relation to school policies and procedures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liaise effectively with parents and carers and other agencies</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be aware of the role and purpose of the school governing body</w:t>
      </w:r>
    </w:p>
    <w:p w:rsidR="00743397" w:rsidRDefault="00743397">
      <w:pPr>
        <w:widowControl/>
        <w:spacing w:line="240" w:lineRule="auto"/>
        <w:ind w:left="360" w:hanging="360"/>
        <w:rPr>
          <w:rFonts w:ascii="Gill Sans MT" w:hAnsi="Gill Sans MT" w:cs="Gill Sans MT"/>
          <w:b/>
          <w:bCs/>
          <w:color w:val="auto"/>
          <w:sz w:val="24"/>
          <w:szCs w:val="24"/>
        </w:rPr>
      </w:pPr>
      <w:r>
        <w:rPr>
          <w:rFonts w:ascii="Gill Sans MT" w:hAnsi="Gill Sans MT" w:cs="Gill Sans MT"/>
          <w:sz w:val="24"/>
          <w:szCs w:val="24"/>
        </w:rPr>
        <w:t>Undertake other duties as the Headteacher may reasonably direct</w:t>
      </w:r>
    </w:p>
    <w:p w:rsidR="00743397" w:rsidRDefault="00743397">
      <w:pPr>
        <w:widowControl/>
        <w:spacing w:line="240" w:lineRule="auto"/>
        <w:rPr>
          <w:rFonts w:ascii="Gill Sans MT" w:hAnsi="Gill Sans MT" w:cs="Gill Sans MT"/>
          <w:b/>
          <w:bCs/>
          <w:color w:val="auto"/>
          <w:sz w:val="24"/>
          <w:szCs w:val="24"/>
        </w:rPr>
      </w:pPr>
    </w:p>
    <w:p w:rsidR="00743397" w:rsidRDefault="00743397">
      <w:pPr>
        <w:widowControl/>
        <w:spacing w:line="240" w:lineRule="auto"/>
        <w:rPr>
          <w:rFonts w:ascii="Gill Sans MT" w:hAnsi="Gill Sans MT" w:cs="Gill Sans MT"/>
          <w:b/>
          <w:bCs/>
          <w:color w:val="auto"/>
          <w:sz w:val="24"/>
          <w:szCs w:val="24"/>
        </w:rPr>
      </w:pPr>
    </w:p>
    <w:p w:rsidR="00743397" w:rsidRDefault="00743397">
      <w:pPr>
        <w:widowControl/>
        <w:spacing w:line="240" w:lineRule="auto"/>
        <w:rPr>
          <w:rFonts w:ascii="Gill Sans MT" w:hAnsi="Gill Sans MT" w:cs="Gill Sans MT"/>
          <w:b/>
          <w:bCs/>
          <w:color w:val="auto"/>
          <w:sz w:val="24"/>
          <w:szCs w:val="24"/>
        </w:rPr>
      </w:pPr>
    </w:p>
    <w:p w:rsidR="00743397" w:rsidRDefault="00743397">
      <w:pPr>
        <w:widowControl/>
        <w:spacing w:line="240" w:lineRule="auto"/>
        <w:rPr>
          <w:rFonts w:ascii="Malgun Gothic" w:eastAsia="Malgun Gothic" w:hAnsi="Malgun Gothic" w:cs="Malgun Gothic"/>
          <w:b/>
          <w:bCs/>
          <w:color w:val="auto"/>
          <w:sz w:val="20"/>
          <w:szCs w:val="20"/>
        </w:rPr>
      </w:pPr>
    </w:p>
    <w:p w:rsidR="00743397" w:rsidRDefault="00743397">
      <w:pPr>
        <w:widowControl/>
        <w:spacing w:line="240" w:lineRule="auto"/>
        <w:rPr>
          <w:rFonts w:ascii="Malgun Gothic" w:eastAsia="Malgun Gothic" w:hAnsi="Malgun Gothic" w:cs="Malgun Gothic"/>
          <w:b/>
          <w:bCs/>
          <w:color w:val="auto"/>
          <w:sz w:val="20"/>
          <w:szCs w:val="20"/>
        </w:rPr>
      </w:pPr>
    </w:p>
    <w:p w:rsidR="00743397" w:rsidRDefault="00743397">
      <w:pPr>
        <w:widowControl/>
        <w:spacing w:line="240" w:lineRule="auto"/>
        <w:rPr>
          <w:rFonts w:ascii="Malgun Gothic" w:eastAsia="Malgun Gothic" w:hAnsi="Malgun Gothic" w:cs="Malgun Gothic"/>
          <w:b/>
          <w:bCs/>
          <w:color w:val="auto"/>
          <w:sz w:val="20"/>
          <w:szCs w:val="20"/>
        </w:rPr>
      </w:pPr>
    </w:p>
    <w:p w:rsidR="00743397" w:rsidRDefault="00743397">
      <w:pPr>
        <w:pStyle w:val="CardTitle"/>
        <w:rPr>
          <w:rFonts w:ascii="Malgun Gothic" w:eastAsia="Malgun Gothic" w:hAnsi="Malgun Gothic" w:cs="Malgun Gothic"/>
          <w:b/>
          <w:bCs/>
          <w:color w:val="auto"/>
          <w:sz w:val="20"/>
          <w:szCs w:val="20"/>
        </w:rPr>
      </w:pPr>
    </w:p>
    <w:p w:rsidR="00743397" w:rsidRDefault="00743397">
      <w:pPr>
        <w:pStyle w:val="CardTitle"/>
        <w:rPr>
          <w:rFonts w:ascii="Malgun Gothic" w:eastAsia="Malgun Gothic" w:hAnsi="Malgun Gothic" w:cs="Malgun Gothic"/>
          <w:b/>
          <w:bCs/>
          <w:color w:val="auto"/>
          <w:sz w:val="20"/>
          <w:szCs w:val="20"/>
        </w:rPr>
      </w:pPr>
    </w:p>
    <w:p w:rsidR="00743397" w:rsidRDefault="00743397">
      <w:pPr>
        <w:pStyle w:val="CardTitle"/>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BodyText3"/>
        <w:rPr>
          <w:rFonts w:cstheme="minorBidi"/>
          <w:color w:val="auto"/>
          <w:kern w:val="0"/>
          <w:sz w:val="24"/>
          <w:szCs w:val="24"/>
        </w:rPr>
      </w:pPr>
      <w:r>
        <w:rPr>
          <w:rFonts w:ascii="Calibri" w:hAnsi="Calibri" w:cs="Calibri"/>
          <w:b/>
          <w:bCs/>
          <w:color w:val="2C2C2C"/>
          <w:sz w:val="24"/>
          <w:szCs w:val="24"/>
          <w:lang w:val="en-US"/>
        </w:rPr>
        <w:t>www.st-petersrc.plymouth.sch.uk</w:t>
      </w: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BodyText3"/>
        <w:rPr>
          <w:rFonts w:cstheme="minorBidi"/>
          <w:color w:val="auto"/>
          <w:kern w:val="0"/>
          <w:sz w:val="24"/>
          <w:szCs w:val="24"/>
        </w:rPr>
      </w:pPr>
      <w:r>
        <w:rPr>
          <w:rFonts w:ascii="Gill Sans MT" w:hAnsi="Gill Sans MT" w:cs="Gill Sans MT"/>
          <w:color w:val="595959"/>
          <w:sz w:val="40"/>
          <w:szCs w:val="40"/>
          <w:lang w:val="en-US"/>
        </w:rPr>
        <w:t>Job Description continued</w:t>
      </w: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spacing w:after="280" w:line="240" w:lineRule="auto"/>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unknownstyle"/>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p w:rsidR="00743397" w:rsidRDefault="00743397">
      <w:pPr>
        <w:pStyle w:val="unknownstyle"/>
        <w:rPr>
          <w:rFonts w:cstheme="minorBidi"/>
          <w:color w:val="auto"/>
          <w:kern w:val="0"/>
          <w:sz w:val="24"/>
          <w:szCs w:val="24"/>
        </w:rPr>
      </w:pPr>
    </w:p>
    <w:p w:rsidR="00743397" w:rsidRDefault="00743397">
      <w:pPr>
        <w:overflowPunct/>
        <w:spacing w:after="0" w:line="240" w:lineRule="auto"/>
        <w:rPr>
          <w:rFonts w:cstheme="minorBidi"/>
          <w:color w:val="auto"/>
          <w:kern w:val="0"/>
          <w:sz w:val="24"/>
          <w:szCs w:val="24"/>
        </w:rPr>
        <w:sectPr w:rsidR="00743397">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3224"/>
        <w:gridCol w:w="3879"/>
      </w:tblGrid>
      <w:tr w:rsidR="00743397">
        <w:tblPrEx>
          <w:tblCellMar>
            <w:top w:w="0" w:type="dxa"/>
            <w:left w:w="0" w:type="dxa"/>
            <w:bottom w:w="0" w:type="dxa"/>
            <w:right w:w="0" w:type="dxa"/>
          </w:tblCellMar>
        </w:tblPrEx>
        <w:trPr>
          <w:trHeight w:val="595"/>
        </w:trPr>
        <w:tc>
          <w:tcPr>
            <w:tcW w:w="3224"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006C68"/>
                <w:sz w:val="22"/>
                <w:szCs w:val="22"/>
                <w:lang w:val="en-US"/>
              </w:rPr>
              <w:t>Post Title</w:t>
            </w:r>
          </w:p>
        </w:tc>
        <w:tc>
          <w:tcPr>
            <w:tcW w:w="3879"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3F3F3F"/>
                <w:sz w:val="22"/>
                <w:szCs w:val="22"/>
                <w:lang w:val="en-US"/>
              </w:rPr>
              <w:t>EYFS Teacher</w:t>
            </w:r>
          </w:p>
        </w:tc>
      </w:tr>
      <w:tr w:rsidR="00743397">
        <w:tblPrEx>
          <w:tblCellMar>
            <w:top w:w="0" w:type="dxa"/>
            <w:left w:w="0" w:type="dxa"/>
            <w:bottom w:w="0" w:type="dxa"/>
            <w:right w:w="0" w:type="dxa"/>
          </w:tblCellMar>
        </w:tblPrEx>
        <w:trPr>
          <w:trHeight w:val="750"/>
        </w:trPr>
        <w:tc>
          <w:tcPr>
            <w:tcW w:w="3224"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006C68"/>
                <w:sz w:val="22"/>
                <w:szCs w:val="22"/>
                <w:lang w:val="en-US"/>
              </w:rPr>
              <w:t>School</w:t>
            </w:r>
          </w:p>
        </w:tc>
        <w:tc>
          <w:tcPr>
            <w:tcW w:w="3879"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3F3F3F"/>
                <w:sz w:val="22"/>
                <w:szCs w:val="22"/>
                <w:lang w:val="en-US"/>
              </w:rPr>
              <w:t>St Mary’s Catholic Primary School Penzance</w:t>
            </w:r>
          </w:p>
        </w:tc>
      </w:tr>
      <w:tr w:rsidR="00743397">
        <w:tblPrEx>
          <w:tblCellMar>
            <w:top w:w="0" w:type="dxa"/>
            <w:left w:w="0" w:type="dxa"/>
            <w:bottom w:w="0" w:type="dxa"/>
            <w:right w:w="0" w:type="dxa"/>
          </w:tblCellMar>
        </w:tblPrEx>
        <w:trPr>
          <w:trHeight w:val="512"/>
        </w:trPr>
        <w:tc>
          <w:tcPr>
            <w:tcW w:w="3224"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006C68"/>
                <w:sz w:val="22"/>
                <w:szCs w:val="22"/>
                <w:lang w:val="en-US"/>
              </w:rPr>
              <w:t>Salary and Grade</w:t>
            </w:r>
          </w:p>
        </w:tc>
        <w:tc>
          <w:tcPr>
            <w:tcW w:w="3879"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3F3F3F"/>
                <w:sz w:val="22"/>
                <w:szCs w:val="22"/>
                <w:lang w:val="en-US"/>
              </w:rPr>
              <w:t>M1-6</w:t>
            </w:r>
          </w:p>
        </w:tc>
      </w:tr>
      <w:tr w:rsidR="00743397">
        <w:tblPrEx>
          <w:tblCellMar>
            <w:top w:w="0" w:type="dxa"/>
            <w:left w:w="0" w:type="dxa"/>
            <w:bottom w:w="0" w:type="dxa"/>
            <w:right w:w="0" w:type="dxa"/>
          </w:tblCellMar>
        </w:tblPrEx>
        <w:trPr>
          <w:trHeight w:val="480"/>
        </w:trPr>
        <w:tc>
          <w:tcPr>
            <w:tcW w:w="3224"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006C68"/>
                <w:sz w:val="22"/>
                <w:szCs w:val="22"/>
                <w:lang w:val="en-US"/>
              </w:rPr>
              <w:t>Line Manager(s)</w:t>
            </w:r>
          </w:p>
        </w:tc>
        <w:tc>
          <w:tcPr>
            <w:tcW w:w="3879"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3F3F3F"/>
                <w:sz w:val="22"/>
                <w:szCs w:val="22"/>
                <w:lang w:val="en-US"/>
              </w:rPr>
              <w:t>Headteacher</w:t>
            </w:r>
          </w:p>
        </w:tc>
      </w:tr>
      <w:tr w:rsidR="00743397">
        <w:tblPrEx>
          <w:tblCellMar>
            <w:top w:w="0" w:type="dxa"/>
            <w:left w:w="0" w:type="dxa"/>
            <w:bottom w:w="0" w:type="dxa"/>
            <w:right w:w="0" w:type="dxa"/>
          </w:tblCellMar>
        </w:tblPrEx>
        <w:trPr>
          <w:trHeight w:val="555"/>
        </w:trPr>
        <w:tc>
          <w:tcPr>
            <w:tcW w:w="3224"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line="276" w:lineRule="auto"/>
              <w:ind w:right="139"/>
              <w:rPr>
                <w:rFonts w:cstheme="minorBidi"/>
                <w:color w:val="auto"/>
                <w:kern w:val="0"/>
                <w:sz w:val="24"/>
                <w:szCs w:val="24"/>
              </w:rPr>
            </w:pPr>
            <w:r>
              <w:rPr>
                <w:rFonts w:ascii="Gill Sans MT" w:hAnsi="Gill Sans MT" w:cs="Gill Sans MT"/>
                <w:b/>
                <w:bCs/>
                <w:color w:val="006C68"/>
                <w:sz w:val="22"/>
                <w:szCs w:val="22"/>
                <w:lang w:val="en-US"/>
              </w:rPr>
              <w:t>Contract Type</w:t>
            </w:r>
          </w:p>
        </w:tc>
        <w:tc>
          <w:tcPr>
            <w:tcW w:w="3879" w:type="dxa"/>
            <w:tcBorders>
              <w:top w:val="single" w:sz="4" w:space="0" w:color="auto"/>
              <w:left w:val="single" w:sz="4" w:space="0" w:color="auto"/>
              <w:bottom w:val="single" w:sz="4" w:space="0" w:color="auto"/>
              <w:right w:val="single" w:sz="4" w:space="0" w:color="auto"/>
            </w:tcBorders>
          </w:tcPr>
          <w:p w:rsidR="00743397" w:rsidRDefault="00743397">
            <w:pPr>
              <w:widowControl/>
              <w:tabs>
                <w:tab w:val="left" w:pos="3359"/>
              </w:tabs>
              <w:spacing w:before="76" w:after="0" w:line="276" w:lineRule="auto"/>
              <w:ind w:right="139"/>
              <w:rPr>
                <w:rFonts w:cstheme="minorBidi"/>
                <w:color w:val="auto"/>
                <w:kern w:val="0"/>
                <w:sz w:val="24"/>
                <w:szCs w:val="24"/>
              </w:rPr>
            </w:pPr>
            <w:r>
              <w:rPr>
                <w:rFonts w:ascii="Gill Sans MT" w:hAnsi="Gill Sans MT" w:cs="Gill Sans MT"/>
                <w:b/>
                <w:bCs/>
                <w:color w:val="3F3F3F"/>
                <w:sz w:val="22"/>
                <w:szCs w:val="22"/>
                <w:lang w:val="en-US"/>
              </w:rPr>
              <w:t>Fixed until August 2026</w:t>
            </w:r>
          </w:p>
        </w:tc>
      </w:tr>
    </w:tbl>
    <w:p w:rsidR="00000000" w:rsidRDefault="00743397" w:rsidP="00743397"/>
    <w:sectPr w:rsidR="00000000" w:rsidSect="0074339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Semilight">
    <w:panose1 w:val="020B0502040204020203"/>
    <w:charset w:val="81"/>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397"/>
    <w:rsid w:val="0074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C9F15E7-8CE7-4ECB-8C7C-DEBD5992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onstantia" w:hAnsi="Constantia" w:cs="Constantia"/>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overflowPunct w:val="0"/>
      <w:autoSpaceDE w:val="0"/>
      <w:autoSpaceDN w:val="0"/>
      <w:adjustRightInd w:val="0"/>
      <w:spacing w:after="0" w:line="276" w:lineRule="auto"/>
    </w:pPr>
    <w:rPr>
      <w:rFonts w:ascii="Arial" w:hAnsi="Arial" w:cs="Arial"/>
      <w:color w:val="000000"/>
      <w:kern w:val="28"/>
      <w:sz w:val="24"/>
      <w:szCs w:val="24"/>
    </w:rPr>
  </w:style>
  <w:style w:type="paragraph" w:customStyle="1" w:styleId="CardTitle">
    <w:name w:val="Card Title"/>
    <w:basedOn w:val="Normal"/>
    <w:uiPriority w:val="99"/>
    <w:pPr>
      <w:spacing w:after="0" w:line="189" w:lineRule="auto"/>
    </w:pPr>
    <w:rPr>
      <w:color w:val="3B3B3B"/>
      <w:sz w:val="121"/>
      <w:szCs w:val="121"/>
    </w:rPr>
  </w:style>
  <w:style w:type="paragraph" w:styleId="BodyText3">
    <w:name w:val="Body Text 3"/>
    <w:basedOn w:val="Normal"/>
    <w:link w:val="BodyText3Char"/>
    <w:uiPriority w:val="99"/>
    <w:rPr>
      <w:sz w:val="15"/>
      <w:szCs w:val="15"/>
    </w:rPr>
  </w:style>
  <w:style w:type="character" w:customStyle="1" w:styleId="BodyText3Char">
    <w:name w:val="Body Text 3 Char"/>
    <w:basedOn w:val="DefaultParagraphFont"/>
    <w:link w:val="BodyText3"/>
    <w:uiPriority w:val="99"/>
    <w:semiHidden/>
    <w:rsid w:val="00743397"/>
    <w:rPr>
      <w:rFonts w:ascii="Constantia" w:hAnsi="Constantia" w:cs="Constantia"/>
      <w:color w:val="000000"/>
      <w:kern w:val="28"/>
      <w:sz w:val="16"/>
      <w:szCs w:val="16"/>
    </w:rPr>
  </w:style>
  <w:style w:type="paragraph" w:customStyle="1" w:styleId="unknownstyle">
    <w:name w:val="unknown style"/>
    <w:uiPriority w:val="99"/>
    <w:pPr>
      <w:widowControl w:val="0"/>
      <w:overflowPunct w:val="0"/>
      <w:autoSpaceDE w:val="0"/>
      <w:autoSpaceDN w:val="0"/>
      <w:adjustRightInd w:val="0"/>
      <w:spacing w:after="0" w:line="285" w:lineRule="auto"/>
    </w:pPr>
    <w:rPr>
      <w:rFonts w:ascii="Constantia" w:hAnsi="Constantia" w:cs="Constantia"/>
      <w:color w:val="000000"/>
      <w:kern w:val="2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2025-09-17T10:15:00Z</dcterms:created>
</cp:coreProperties>
</file>